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18" w:rsidRPr="00E12C18" w:rsidRDefault="00E12C18" w:rsidP="00E12C18">
      <w:pPr>
        <w:spacing w:after="0" w:line="240" w:lineRule="auto"/>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ANEXO III</w:t>
      </w: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bookmarkStart w:id="0" w:name="artigo_39"/>
      <w:r w:rsidRPr="00E12C18">
        <w:rPr>
          <w:rFonts w:ascii="Calibri" w:eastAsia="Times New Roman" w:hAnsi="Calibri" w:cs="Calibri"/>
          <w:b/>
          <w:bCs/>
          <w:sz w:val="24"/>
          <w:szCs w:val="24"/>
          <w:lang w:eastAsia="pt-BR"/>
        </w:rPr>
        <w:t>PORTARIA PR N. 161, DE 21 DE FEVEREIRO DE 2024</w:t>
      </w:r>
      <w:bookmarkEnd w:id="0"/>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before="100" w:beforeAutospacing="1" w:after="100" w:afterAutospacing="1" w:line="240" w:lineRule="auto"/>
        <w:ind w:left="4260"/>
        <w:jc w:val="both"/>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shd w:val="clear" w:color="auto" w:fill="FFFFFF"/>
          <w:lang w:eastAsia="pt-BR"/>
        </w:rPr>
        <w:t xml:space="preserve">Regulamenta o procedimento de apuração e aplicação da penalidade multa, consoante as disposições contidas no artigo 155 e seguintes da Lei Federal n. 14.133, de 1º de abril de 2021, que dispõe sobre licitações e contratos administrativos, </w:t>
      </w:r>
      <w:r w:rsidRPr="00E12C18">
        <w:rPr>
          <w:rFonts w:ascii="Calibri" w:eastAsia="Times New Roman" w:hAnsi="Calibri" w:cs="Calibri"/>
          <w:b/>
          <w:bCs/>
          <w:sz w:val="24"/>
          <w:szCs w:val="24"/>
          <w:lang w:eastAsia="pt-BR"/>
        </w:rPr>
        <w:t>no âmbito da Fundação de Amparo à Pesquisa do Estado de São Paulo – FAPESP.</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O</w:t>
      </w:r>
      <w:r w:rsidRPr="00E12C18">
        <w:rPr>
          <w:rFonts w:ascii="Calibri" w:eastAsia="Times New Roman" w:hAnsi="Calibri" w:cs="Calibri"/>
          <w:b/>
          <w:bCs/>
          <w:sz w:val="24"/>
          <w:szCs w:val="24"/>
          <w:lang w:eastAsia="pt-BR"/>
        </w:rPr>
        <w:t xml:space="preserve"> PRESIDENTE DA FUNDAÇÃO DE AMPARO À PESQUISA DO ESTADO DE SÃO PAULO, </w:t>
      </w:r>
      <w:r w:rsidRPr="00E12C18">
        <w:rPr>
          <w:rFonts w:ascii="Calibri" w:eastAsia="Times New Roman" w:hAnsi="Calibri" w:cs="Calibri"/>
          <w:sz w:val="24"/>
          <w:szCs w:val="24"/>
          <w:lang w:eastAsia="pt-BR"/>
        </w:rPr>
        <w:t>no uso de suas atribuições legais, considerando os Estatutos aprovados pelo Decreto n. 40.132, de 23 de maio de 1962, considerando a Lei Federal n. 14.133, de 1º de abril de 2021, e considerando o quanto deliberado pelo Conselho Técnico-Administrativo - CTA, em reunião realizada em 20 de fevereiro de 2024, edita a seguinte Portaria:</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Seção I</w:t>
      </w: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Das Disposições Preliminares</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Art. 1º O licitante ou o contratado será responsabilizado administrativamente pelas infrações descritas no artigo 155 da Lei Federal n. 14.133, de 1º de abril de 2021, e, ainda, de qualquer outro descumprimento de cláusula </w:t>
      </w:r>
      <w:proofErr w:type="spellStart"/>
      <w:r w:rsidRPr="00E12C18">
        <w:rPr>
          <w:rFonts w:ascii="Calibri" w:eastAsia="Times New Roman" w:hAnsi="Calibri" w:cs="Calibri"/>
          <w:sz w:val="24"/>
          <w:szCs w:val="24"/>
          <w:lang w:eastAsia="pt-BR"/>
        </w:rPr>
        <w:t>editalícia</w:t>
      </w:r>
      <w:proofErr w:type="spellEnd"/>
      <w:r w:rsidRPr="00E12C18">
        <w:rPr>
          <w:rFonts w:ascii="Calibri" w:eastAsia="Times New Roman" w:hAnsi="Calibri" w:cs="Calibri"/>
          <w:sz w:val="24"/>
          <w:szCs w:val="24"/>
          <w:lang w:eastAsia="pt-BR"/>
        </w:rPr>
        <w:t>, contratual ou da legislação referente às licitações e contratações públicas.</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Seção II</w:t>
      </w: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Da Multa</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2º A multa será calculada na forma prevista no edital ou no contrato, e não poderá ser inferior a 0,5% (cinco décimos por cento) nem superior a 30% (trinta por cento) do valor do contrato licitado ou celebrado.</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 1º A aplicação de multa moratória não impedirá que a autoridade julgadora, mediante ato motivado, a converta em compensatória e promova a extinção unilateral do contrato com a aplicação cumulada de outras sanções previstas na Lei 14.133/2021. </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2º Nos casos em que o valor do contrato seja irrisório ou sem custos para a FAPESP, deverá ser fixado no edital e no próprio contrato um valor de referência devidamente motivado para a aplicação de eventuais multas.</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Art. 3º O licitante ou contratado que, injustificadamente, descumprir a legislação ou cláusulas </w:t>
      </w:r>
      <w:proofErr w:type="spellStart"/>
      <w:r w:rsidRPr="00E12C18">
        <w:rPr>
          <w:rFonts w:ascii="Calibri" w:eastAsia="Times New Roman" w:hAnsi="Calibri" w:cs="Calibri"/>
          <w:sz w:val="24"/>
          <w:szCs w:val="24"/>
          <w:lang w:eastAsia="pt-BR"/>
        </w:rPr>
        <w:t>editalícias</w:t>
      </w:r>
      <w:proofErr w:type="spellEnd"/>
      <w:r w:rsidRPr="00E12C18">
        <w:rPr>
          <w:rFonts w:ascii="Calibri" w:eastAsia="Times New Roman" w:hAnsi="Calibri" w:cs="Calibri"/>
          <w:sz w:val="24"/>
          <w:szCs w:val="24"/>
          <w:lang w:eastAsia="pt-BR"/>
        </w:rPr>
        <w:t xml:space="preserve"> ou contratuais ou der causa a atraso no cumprimento dos prazos previstos nos contratos ou sua inexecução total ou parcial, sujeitar-se-á à aplicação da </w:t>
      </w:r>
      <w:r w:rsidRPr="00E12C18">
        <w:rPr>
          <w:rFonts w:ascii="Calibri" w:eastAsia="Times New Roman" w:hAnsi="Calibri" w:cs="Calibri"/>
          <w:sz w:val="24"/>
          <w:szCs w:val="24"/>
          <w:lang w:eastAsia="pt-BR"/>
        </w:rPr>
        <w:lastRenderedPageBreak/>
        <w:t>penalidade de multa, nos termos desta Portaria, sem prejuízo das demais penalidades legais cabíveis, devendo ser observados os seguintes percentuais e diretrizes:</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 - </w:t>
      </w:r>
      <w:proofErr w:type="gramStart"/>
      <w:r w:rsidRPr="00E12C18">
        <w:rPr>
          <w:rFonts w:ascii="Calibri" w:eastAsia="Times New Roman" w:hAnsi="Calibri" w:cs="Calibri"/>
          <w:sz w:val="24"/>
          <w:szCs w:val="24"/>
          <w:lang w:eastAsia="pt-BR"/>
        </w:rPr>
        <w:t>multa</w:t>
      </w:r>
      <w:proofErr w:type="gramEnd"/>
      <w:r w:rsidRPr="00E12C18">
        <w:rPr>
          <w:rFonts w:ascii="Calibri" w:eastAsia="Times New Roman" w:hAnsi="Calibri" w:cs="Calibri"/>
          <w:sz w:val="24"/>
          <w:szCs w:val="24"/>
          <w:lang w:eastAsia="pt-BR"/>
        </w:rPr>
        <w:t xml:space="preserve"> moratória de 0,1% (um décimo por cento) por dia de atraso na entrega de bem ou execução de serviços ou obras, até o máximo de 30 (trinta) dias, calculado sobre o valor correspondente à parte inadimplente;</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II - </w:t>
      </w:r>
      <w:proofErr w:type="gramStart"/>
      <w:r w:rsidRPr="00E12C18">
        <w:rPr>
          <w:rFonts w:ascii="Calibri" w:eastAsia="Times New Roman" w:hAnsi="Calibri" w:cs="Calibri"/>
          <w:sz w:val="24"/>
          <w:szCs w:val="24"/>
          <w:lang w:eastAsia="pt-BR"/>
        </w:rPr>
        <w:t>no</w:t>
      </w:r>
      <w:proofErr w:type="gramEnd"/>
      <w:r w:rsidRPr="00E12C18">
        <w:rPr>
          <w:rFonts w:ascii="Calibri" w:eastAsia="Times New Roman" w:hAnsi="Calibri" w:cs="Calibri"/>
          <w:sz w:val="24"/>
          <w:szCs w:val="24"/>
          <w:lang w:eastAsia="pt-BR"/>
        </w:rPr>
        <w:t xml:space="preserve"> caso de atraso superior a 30 (trinta) dias, multa moratória de 0,2% (dois décimos por cento), no que exceder ao prazo do inciso I deste artigo;</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III - multa administrativa de 10% (dez por cento) sobre o valor total da adjudicação da licitação ou do valor da contratação direta em caso de recusa do licitante ou futuro contratado em assinar a Ata de Registro de Preços ou contrato, ou recusar-se a aceitar ou retirar o instrumento equivalente ou pagamento correspondente à diferença de preço decorrente de nova contratação para o mesmo fim; e</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IV - </w:t>
      </w:r>
      <w:proofErr w:type="gramStart"/>
      <w:r w:rsidRPr="00E12C18">
        <w:rPr>
          <w:rFonts w:ascii="Calibri" w:eastAsia="Times New Roman" w:hAnsi="Calibri" w:cs="Calibri"/>
          <w:sz w:val="24"/>
          <w:szCs w:val="24"/>
          <w:lang w:eastAsia="pt-BR"/>
        </w:rPr>
        <w:t>multa</w:t>
      </w:r>
      <w:proofErr w:type="gramEnd"/>
      <w:r w:rsidRPr="00E12C18">
        <w:rPr>
          <w:rFonts w:ascii="Calibri" w:eastAsia="Times New Roman" w:hAnsi="Calibri" w:cs="Calibri"/>
          <w:sz w:val="24"/>
          <w:szCs w:val="24"/>
          <w:lang w:eastAsia="pt-BR"/>
        </w:rPr>
        <w:t xml:space="preserve"> administrativa de 10% (dez por cento) sobre o valor total ou parcial da obrigação não cumprida, no caso de inexecução total ou parcial do serviço, entrega do bem ou obra ou pagamento correspondente à diferença de preço decorrente de nova contratação para o mesmo fim. </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4º A recusa injustificada do adjudicatário em assinar o contrato, aceitar ou retirar o instrumento equivalente, dentro do prazo estabelecido pela administração da FAPESP, caracteriza descumprimento total da obrigação assumida sujeitando-o à multa administrativa de 10% (dez por cento) sobre o valor total da obrigação não cumprida ou pagamento correspondente à diferença de preço decorrente de nova contratação para o mesmo fim.</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5º O material não aceito deverá ser substituído dentro do prazo estabelecido pela FAPESP, que não poderá ser superior a 15 (quinze) dias contados do recebimento da notificação.</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Parágrafo único. A não ocorrência do que está estipulado no caput deste artigo ensejará a aplicação de multa correspondente a 10% (dez por cento) do valor da obrigação não cumprida ou pagamento correspondente à diferença de preço decorrente de nova contratação para o mesmo fim, considerando-se o adjudicatário em mora a partir do primeiro dia útil seguinte ao término do prazo estabelecido para a substituição do material.</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6º O pedido de prorrogação de prazo em relação ao objeto contratado como prazo final para entrega ou cumprimento de qualquer etapa somente será apreciado se feito dentro do prazo fixado no instrumento de contrato ou equivalente.</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7º</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A apuração de responsabilidade por infrações passíveis da sanção de multa se dará em processo administrativo sumário, facultando-se a defesa do licitante ou contratado no prazo de 15 (quinze) dias úteis, a contar da publicação ou ciência.</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Parágrafo único. Da aplicação da multa caberá recurso dentro do prazo de 5 (cinco) dias úteis, a contar da notificação do ato.</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8º A aplicação de multa não exclui, em hipótese alguma, a obrigação de reparação integral de eventual dano causado à FAPESP.</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lastRenderedPageBreak/>
        <w:t>Art. 9º As multas previstas nesta Portaria, quando for o caso, serão calculadas sobre os valores contratuais reajustados e poderão ser pagas com a garantia prestada na assinatura do contrato ou instrumento equivalente ou descontadas dos pagamentos eventualmente devidos.</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10. As multas previstas nesta Portaria são independentes, sendo que a aplicação de uma não impede a aplicação superveniente de outras previstas, cumulando-se os respectivos valores.</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11.</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As disposições desta Portaria aplicam-se também às obras, serviços ou compras que forem contratados mediante dispensa ou inexigibilidade de licitação, bem como deverá constar dos respectivos processos de licitação ou de contratação direta.</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Seção III</w:t>
      </w:r>
    </w:p>
    <w:p w:rsidR="00E12C18" w:rsidRPr="00E12C18" w:rsidRDefault="00E12C18" w:rsidP="00E12C18">
      <w:pPr>
        <w:spacing w:after="0" w:line="240" w:lineRule="auto"/>
        <w:ind w:hanging="2"/>
        <w:jc w:val="center"/>
        <w:rPr>
          <w:rFonts w:ascii="Times New Roman" w:eastAsia="Times New Roman" w:hAnsi="Times New Roman" w:cs="Times New Roman"/>
          <w:sz w:val="24"/>
          <w:szCs w:val="24"/>
          <w:lang w:eastAsia="pt-BR"/>
        </w:rPr>
      </w:pPr>
      <w:r w:rsidRPr="00E12C18">
        <w:rPr>
          <w:rFonts w:ascii="Calibri" w:eastAsia="Times New Roman" w:hAnsi="Calibri" w:cs="Calibri"/>
          <w:b/>
          <w:bCs/>
          <w:sz w:val="24"/>
          <w:szCs w:val="24"/>
          <w:lang w:eastAsia="pt-BR"/>
        </w:rPr>
        <w:t>Disposições Finais</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12. Nenhum prazo de recurso, representação ou reconsideração se inicia ou corre sem que os autos estejam com vista franqueada ao interessado.</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13. Os prazos serão contados com exclusão do dia do começo e inclusão do dia do vencimento e observarão as seguintes disposições:</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 - </w:t>
      </w:r>
      <w:proofErr w:type="gramStart"/>
      <w:r w:rsidRPr="00E12C18">
        <w:rPr>
          <w:rFonts w:ascii="Calibri" w:eastAsia="Times New Roman" w:hAnsi="Calibri" w:cs="Calibri"/>
          <w:sz w:val="24"/>
          <w:szCs w:val="24"/>
          <w:lang w:eastAsia="pt-BR"/>
        </w:rPr>
        <w:t>os</w:t>
      </w:r>
      <w:proofErr w:type="gramEnd"/>
      <w:r w:rsidRPr="00E12C18">
        <w:rPr>
          <w:rFonts w:ascii="Calibri" w:eastAsia="Times New Roman" w:hAnsi="Calibri" w:cs="Calibri"/>
          <w:sz w:val="24"/>
          <w:szCs w:val="24"/>
          <w:lang w:eastAsia="pt-BR"/>
        </w:rPr>
        <w:t xml:space="preserve"> prazos expressos em dias corridos serão computados de modo contínuo; e</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II - </w:t>
      </w:r>
      <w:proofErr w:type="gramStart"/>
      <w:r w:rsidRPr="00E12C18">
        <w:rPr>
          <w:rFonts w:ascii="Calibri" w:eastAsia="Times New Roman" w:hAnsi="Calibri" w:cs="Calibri"/>
          <w:sz w:val="24"/>
          <w:szCs w:val="24"/>
          <w:lang w:eastAsia="pt-BR"/>
        </w:rPr>
        <w:t>os</w:t>
      </w:r>
      <w:proofErr w:type="gramEnd"/>
      <w:r w:rsidRPr="00E12C18">
        <w:rPr>
          <w:rFonts w:ascii="Calibri" w:eastAsia="Times New Roman" w:hAnsi="Calibri" w:cs="Calibri"/>
          <w:sz w:val="24"/>
          <w:szCs w:val="24"/>
          <w:lang w:eastAsia="pt-BR"/>
        </w:rPr>
        <w:t xml:space="preserve"> prazos expressos em meses ou anos serão computados de data a data.</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Parágrafo único.</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Salvo disposição em contrário, considera-se dia do começo do prazo:</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 - </w:t>
      </w:r>
      <w:proofErr w:type="gramStart"/>
      <w:r w:rsidRPr="00E12C18">
        <w:rPr>
          <w:rFonts w:ascii="Calibri" w:eastAsia="Times New Roman" w:hAnsi="Calibri" w:cs="Calibri"/>
          <w:sz w:val="24"/>
          <w:szCs w:val="24"/>
          <w:lang w:eastAsia="pt-BR"/>
        </w:rPr>
        <w:t>o</w:t>
      </w:r>
      <w:proofErr w:type="gramEnd"/>
      <w:r w:rsidRPr="00E12C18">
        <w:rPr>
          <w:rFonts w:ascii="Calibri" w:eastAsia="Times New Roman" w:hAnsi="Calibri" w:cs="Calibri"/>
          <w:sz w:val="24"/>
          <w:szCs w:val="24"/>
          <w:lang w:eastAsia="pt-BR"/>
        </w:rPr>
        <w:t xml:space="preserve"> primeiro dia útil seguinte ao da disponibilização da informação; ou</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 xml:space="preserve">II - </w:t>
      </w:r>
      <w:proofErr w:type="gramStart"/>
      <w:r w:rsidRPr="00E12C18">
        <w:rPr>
          <w:rFonts w:ascii="Calibri" w:eastAsia="Times New Roman" w:hAnsi="Calibri" w:cs="Calibri"/>
          <w:sz w:val="24"/>
          <w:szCs w:val="24"/>
          <w:lang w:eastAsia="pt-BR"/>
        </w:rPr>
        <w:t>o</w:t>
      </w:r>
      <w:proofErr w:type="gramEnd"/>
      <w:r w:rsidRPr="00E12C18">
        <w:rPr>
          <w:rFonts w:ascii="Calibri" w:eastAsia="Times New Roman" w:hAnsi="Calibri" w:cs="Calibri"/>
          <w:sz w:val="24"/>
          <w:szCs w:val="24"/>
          <w:lang w:eastAsia="pt-BR"/>
        </w:rPr>
        <w:t xml:space="preserve"> primeiro dia útil seguinte da data da publicação ou ciência.</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14.</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Não existindo determinação em sentido contrário, os atos processuais devem ser praticados pelos notificados no prazo de 5 (cinco) dias úteis corridos.</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15.</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Quando se tratar de processo digital, os atos poderão ser praticados por meio de correio eletrônico, até às 23h59 (vinte e três horas e cinquenta e nove minutos) do último dia do prazo, salvo quando houver prescrição de forma diversa.</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16. Os prazos só se iniciam ou terminam em dia em que haja expediente normal na FAPESP.</w:t>
      </w: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17.</w:t>
      </w:r>
      <w:r w:rsidRPr="00E12C18">
        <w:rPr>
          <w:rFonts w:ascii="Arial" w:eastAsia="Times New Roman" w:hAnsi="Arial" w:cs="Arial"/>
          <w:sz w:val="20"/>
          <w:szCs w:val="20"/>
          <w:lang w:eastAsia="pt-BR"/>
        </w:rPr>
        <w:t xml:space="preserve"> </w:t>
      </w:r>
      <w:r w:rsidRPr="00E12C18">
        <w:rPr>
          <w:rFonts w:ascii="Calibri" w:eastAsia="Times New Roman" w:hAnsi="Calibri" w:cs="Calibri"/>
          <w:sz w:val="24"/>
          <w:szCs w:val="24"/>
          <w:lang w:eastAsia="pt-BR"/>
        </w:rPr>
        <w:t>A Portaria PR n. 68, de 31 de agosto de 2021, aplica-se a todos os contratos e instrumentos equivalentes celebrados e vigentes sob a égide da Lei Federal n. 8.666/1993</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Art. 18. Esta Portaria entra em vigor na data de sua publicação.</w:t>
      </w:r>
    </w:p>
    <w:p w:rsidR="00E12C18" w:rsidRPr="00E12C18" w:rsidRDefault="00E12C18" w:rsidP="00E12C18">
      <w:pPr>
        <w:spacing w:after="0" w:line="240" w:lineRule="auto"/>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ind w:hanging="2"/>
        <w:jc w:val="both"/>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São Paulo, 21 de fevereiro de 2024.</w:t>
      </w: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MARCO ANTONIO ZAGO</w:t>
      </w:r>
    </w:p>
    <w:p w:rsidR="00E12C18" w:rsidRPr="00E12C18" w:rsidRDefault="00E12C18" w:rsidP="00E12C18">
      <w:pPr>
        <w:spacing w:after="0" w:line="240" w:lineRule="auto"/>
        <w:jc w:val="center"/>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Presidente</w:t>
      </w:r>
    </w:p>
    <w:p w:rsidR="00E12C18" w:rsidRPr="00E12C18" w:rsidRDefault="00E12C18" w:rsidP="00E12C18">
      <w:pPr>
        <w:spacing w:after="0" w:line="240" w:lineRule="auto"/>
        <w:rPr>
          <w:rFonts w:ascii="Times New Roman" w:eastAsia="Times New Roman" w:hAnsi="Times New Roman" w:cs="Times New Roman"/>
          <w:sz w:val="24"/>
          <w:szCs w:val="24"/>
          <w:lang w:eastAsia="pt-BR"/>
        </w:rPr>
      </w:pPr>
    </w:p>
    <w:p w:rsidR="00E12C18" w:rsidRPr="00E12C18" w:rsidRDefault="00E12C18" w:rsidP="00E12C18">
      <w:pPr>
        <w:spacing w:after="0" w:line="240" w:lineRule="auto"/>
        <w:rPr>
          <w:rFonts w:ascii="Times New Roman" w:eastAsia="Times New Roman" w:hAnsi="Times New Roman" w:cs="Times New Roman"/>
          <w:sz w:val="24"/>
          <w:szCs w:val="24"/>
          <w:lang w:eastAsia="pt-BR"/>
        </w:rPr>
      </w:pPr>
      <w:r w:rsidRPr="00E12C18">
        <w:rPr>
          <w:rFonts w:ascii="Calibri" w:eastAsia="Times New Roman" w:hAnsi="Calibri" w:cs="Calibri"/>
          <w:sz w:val="24"/>
          <w:szCs w:val="24"/>
          <w:lang w:eastAsia="pt-BR"/>
        </w:rPr>
        <w:t>(Processo SEI nº 255.00000013/2024-54)</w:t>
      </w:r>
    </w:p>
    <w:p w:rsidR="00E12C18" w:rsidRPr="00E12C18" w:rsidRDefault="00E12C18" w:rsidP="00E12C18">
      <w:pPr>
        <w:spacing w:after="0" w:line="240" w:lineRule="auto"/>
        <w:rPr>
          <w:rFonts w:ascii="Times New Roman" w:eastAsia="Times New Roman" w:hAnsi="Times New Roman" w:cs="Times New Roman"/>
          <w:sz w:val="24"/>
          <w:szCs w:val="24"/>
          <w:lang w:eastAsia="pt-BR"/>
        </w:rPr>
      </w:pPr>
      <w:r w:rsidRPr="00E12C18">
        <w:rPr>
          <w:rFonts w:ascii="Times New Roman" w:eastAsia="Times New Roman" w:hAnsi="Times New Roman" w:cs="Times New Roman"/>
          <w:sz w:val="24"/>
          <w:szCs w:val="24"/>
          <w:lang w:eastAsia="pt-BR"/>
        </w:rPr>
        <w:t> </w:t>
      </w:r>
    </w:p>
    <w:p w:rsidR="00E12C18" w:rsidRPr="00E12C18" w:rsidRDefault="00E12C18" w:rsidP="00E12C18">
      <w:pPr>
        <w:spacing w:after="0" w:line="240" w:lineRule="auto"/>
        <w:rPr>
          <w:rFonts w:ascii="Times New Roman" w:eastAsia="Times New Roman" w:hAnsi="Times New Roman" w:cs="Times New Roman"/>
          <w:sz w:val="24"/>
          <w:szCs w:val="24"/>
          <w:lang w:eastAsia="pt-BR"/>
        </w:rPr>
      </w:pPr>
      <w:bookmarkStart w:id="1" w:name="_GoBack"/>
      <w:bookmarkEnd w:id="1"/>
    </w:p>
    <w:sectPr w:rsidR="00E12C18" w:rsidRPr="00E12C18">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F2B" w:rsidRDefault="004F1F2B" w:rsidP="004F1F2B">
      <w:pPr>
        <w:spacing w:after="0" w:line="240" w:lineRule="auto"/>
      </w:pPr>
      <w:r>
        <w:separator/>
      </w:r>
    </w:p>
  </w:endnote>
  <w:endnote w:type="continuationSeparator" w:id="0">
    <w:p w:rsidR="004F1F2B" w:rsidRDefault="004F1F2B" w:rsidP="004F1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F2B" w:rsidRDefault="004F1F2B">
    <w:pPr>
      <w:pStyle w:val="Rodap"/>
    </w:pPr>
    <w:r>
      <w:rPr>
        <w:noProof/>
        <w:lang w:eastAsia="pt-BR"/>
      </w:rPr>
      <w:drawing>
        <wp:inline distT="0" distB="0" distL="0" distR="0" wp14:anchorId="28BA3181" wp14:editId="0A09DDA9">
          <wp:extent cx="5400040" cy="308158"/>
          <wp:effectExtent l="0" t="0" r="0" b="0"/>
          <wp:docPr id="8" name="Picture 4" descr=":::::Desktop:Para papel timbrado 2012:rodape_timb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Para papel timbrado 2012:rodape_timbre.jpg"/>
                  <pic:cNvPicPr>
                    <a:picLocks noChangeAspect="1" noChangeArrowheads="1"/>
                  </pic:cNvPicPr>
                </pic:nvPicPr>
                <pic:blipFill rotWithShape="1">
                  <a:blip r:embed="rId1"/>
                  <a:srcRect b="25420"/>
                  <a:stretch/>
                </pic:blipFill>
                <pic:spPr bwMode="auto">
                  <a:xfrm>
                    <a:off x="0" y="0"/>
                    <a:ext cx="5400040" cy="308158"/>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F2B" w:rsidRDefault="004F1F2B" w:rsidP="004F1F2B">
      <w:pPr>
        <w:spacing w:after="0" w:line="240" w:lineRule="auto"/>
      </w:pPr>
      <w:r>
        <w:separator/>
      </w:r>
    </w:p>
  </w:footnote>
  <w:footnote w:type="continuationSeparator" w:id="0">
    <w:p w:rsidR="004F1F2B" w:rsidRDefault="004F1F2B" w:rsidP="004F1F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F2B" w:rsidRDefault="004F1F2B">
    <w:pPr>
      <w:pStyle w:val="Cabealho"/>
    </w:pPr>
    <w:r w:rsidRPr="00820AA5">
      <w:rPr>
        <w:noProof/>
        <w:lang w:eastAsia="pt-BR"/>
      </w:rPr>
      <w:drawing>
        <wp:anchor distT="0" distB="0" distL="114300" distR="114300" simplePos="0" relativeHeight="251659264" behindDoc="0" locked="0" layoutInCell="1" allowOverlap="1" wp14:anchorId="76B38981" wp14:editId="60AEFF8A">
          <wp:simplePos x="0" y="0"/>
          <wp:positionH relativeFrom="margin">
            <wp:posOffset>-182880</wp:posOffset>
          </wp:positionH>
          <wp:positionV relativeFrom="margin">
            <wp:posOffset>-763270</wp:posOffset>
          </wp:positionV>
          <wp:extent cx="1707727" cy="645497"/>
          <wp:effectExtent l="0" t="0" r="6985" b="2540"/>
          <wp:wrapSquare wrapText="bothSides"/>
          <wp:docPr id="4" name="Picture 1" descr="FAPESP_completo az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PESP_completo azul.jpg"/>
                  <pic:cNvPicPr/>
                </pic:nvPicPr>
                <pic:blipFill>
                  <a:blip r:embed="rId1">
                    <a:extLst>
                      <a:ext uri="{28A0092B-C50C-407E-A947-70E740481C1C}">
                        <a14:useLocalDpi xmlns:a14="http://schemas.microsoft.com/office/drawing/2010/main" val="0"/>
                      </a:ext>
                    </a:extLst>
                  </a:blip>
                  <a:stretch>
                    <a:fillRect/>
                  </a:stretch>
                </pic:blipFill>
                <pic:spPr>
                  <a:xfrm>
                    <a:off x="0" y="0"/>
                    <a:ext cx="1707727" cy="64549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A31C6"/>
    <w:multiLevelType w:val="multilevel"/>
    <w:tmpl w:val="710424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82932"/>
    <w:multiLevelType w:val="multilevel"/>
    <w:tmpl w:val="29BC62A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921D2"/>
    <w:multiLevelType w:val="multilevel"/>
    <w:tmpl w:val="50CC32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8931A0"/>
    <w:multiLevelType w:val="multilevel"/>
    <w:tmpl w:val="19008AE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B0BB2"/>
    <w:multiLevelType w:val="multilevel"/>
    <w:tmpl w:val="D9A409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B02F53"/>
    <w:multiLevelType w:val="multilevel"/>
    <w:tmpl w:val="5B8EB2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994A14"/>
    <w:multiLevelType w:val="multilevel"/>
    <w:tmpl w:val="371EFC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56127"/>
    <w:multiLevelType w:val="multilevel"/>
    <w:tmpl w:val="B498B5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AB0FF4"/>
    <w:multiLevelType w:val="multilevel"/>
    <w:tmpl w:val="6492B6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047365"/>
    <w:multiLevelType w:val="multilevel"/>
    <w:tmpl w:val="53D2F8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C034D1"/>
    <w:multiLevelType w:val="multilevel"/>
    <w:tmpl w:val="EA229C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103EB7"/>
    <w:multiLevelType w:val="multilevel"/>
    <w:tmpl w:val="62DAE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8946A3"/>
    <w:multiLevelType w:val="multilevel"/>
    <w:tmpl w:val="3D28A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1A7A7A"/>
    <w:multiLevelType w:val="multilevel"/>
    <w:tmpl w:val="C68458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3E633B"/>
    <w:multiLevelType w:val="multilevel"/>
    <w:tmpl w:val="50AEA5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053263"/>
    <w:multiLevelType w:val="multilevel"/>
    <w:tmpl w:val="9D10EF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42205F"/>
    <w:multiLevelType w:val="multilevel"/>
    <w:tmpl w:val="25B057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AA4201"/>
    <w:multiLevelType w:val="multilevel"/>
    <w:tmpl w:val="42D2CA4C"/>
    <w:styleLink w:val="a1esequncias"/>
    <w:lvl w:ilvl="0">
      <w:start w:val="1"/>
      <w:numFmt w:val="none"/>
      <w:suff w:val="space"/>
      <w:lvlText w:val="a.1)"/>
      <w:lvlJc w:val="left"/>
      <w:pPr>
        <w:ind w:left="539" w:firstLine="44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F97F73"/>
    <w:multiLevelType w:val="multilevel"/>
    <w:tmpl w:val="5D1EE1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B279F2"/>
    <w:multiLevelType w:val="multilevel"/>
    <w:tmpl w:val="1884BD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624AA5"/>
    <w:multiLevelType w:val="multilevel"/>
    <w:tmpl w:val="C26649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417B48"/>
    <w:multiLevelType w:val="multilevel"/>
    <w:tmpl w:val="92F687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4E022B"/>
    <w:multiLevelType w:val="multilevel"/>
    <w:tmpl w:val="C88094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9E74A2"/>
    <w:multiLevelType w:val="multilevel"/>
    <w:tmpl w:val="95CE9F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2"/>
  </w:num>
  <w:num w:numId="3">
    <w:abstractNumId w:val="5"/>
  </w:num>
  <w:num w:numId="4">
    <w:abstractNumId w:val="8"/>
  </w:num>
  <w:num w:numId="5">
    <w:abstractNumId w:val="16"/>
  </w:num>
  <w:num w:numId="6">
    <w:abstractNumId w:val="6"/>
  </w:num>
  <w:num w:numId="7">
    <w:abstractNumId w:val="10"/>
  </w:num>
  <w:num w:numId="8">
    <w:abstractNumId w:val="18"/>
  </w:num>
  <w:num w:numId="9">
    <w:abstractNumId w:val="9"/>
  </w:num>
  <w:num w:numId="10">
    <w:abstractNumId w:val="23"/>
  </w:num>
  <w:num w:numId="11">
    <w:abstractNumId w:val="4"/>
  </w:num>
  <w:num w:numId="12">
    <w:abstractNumId w:val="19"/>
  </w:num>
  <w:num w:numId="13">
    <w:abstractNumId w:val="1"/>
  </w:num>
  <w:num w:numId="14">
    <w:abstractNumId w:val="11"/>
  </w:num>
  <w:num w:numId="15">
    <w:abstractNumId w:val="0"/>
  </w:num>
  <w:num w:numId="16">
    <w:abstractNumId w:val="21"/>
  </w:num>
  <w:num w:numId="17">
    <w:abstractNumId w:val="20"/>
  </w:num>
  <w:num w:numId="18">
    <w:abstractNumId w:val="7"/>
  </w:num>
  <w:num w:numId="19">
    <w:abstractNumId w:val="13"/>
  </w:num>
  <w:num w:numId="20">
    <w:abstractNumId w:val="22"/>
  </w:num>
  <w:num w:numId="21">
    <w:abstractNumId w:val="14"/>
  </w:num>
  <w:num w:numId="22">
    <w:abstractNumId w:val="15"/>
  </w:num>
  <w:num w:numId="23">
    <w:abstractNumId w:val="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F2B"/>
    <w:rsid w:val="00227E1F"/>
    <w:rsid w:val="004B1D45"/>
    <w:rsid w:val="004F1F2B"/>
    <w:rsid w:val="00BE23D0"/>
    <w:rsid w:val="00E12C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D09FAC-8B84-4A58-ADE4-2B85049D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a1esequncias">
    <w:name w:val="a.1) e sequências"/>
    <w:rsid w:val="004B1D45"/>
    <w:pPr>
      <w:numPr>
        <w:numId w:val="1"/>
      </w:numPr>
    </w:pPr>
  </w:style>
  <w:style w:type="paragraph" w:styleId="NormalWeb">
    <w:name w:val="Normal (Web)"/>
    <w:basedOn w:val="Normal"/>
    <w:uiPriority w:val="99"/>
    <w:semiHidden/>
    <w:unhideWhenUsed/>
    <w:rsid w:val="004F1F2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F1F2B"/>
    <w:rPr>
      <w:color w:val="0000FF"/>
      <w:u w:val="single"/>
    </w:rPr>
  </w:style>
  <w:style w:type="character" w:styleId="HiperlinkVisitado">
    <w:name w:val="FollowedHyperlink"/>
    <w:basedOn w:val="Fontepargpadro"/>
    <w:uiPriority w:val="99"/>
    <w:semiHidden/>
    <w:unhideWhenUsed/>
    <w:rsid w:val="004F1F2B"/>
    <w:rPr>
      <w:color w:val="800080"/>
      <w:u w:val="single"/>
    </w:rPr>
  </w:style>
  <w:style w:type="character" w:styleId="Forte">
    <w:name w:val="Strong"/>
    <w:basedOn w:val="Fontepargpadro"/>
    <w:uiPriority w:val="22"/>
    <w:qFormat/>
    <w:rsid w:val="004F1F2B"/>
    <w:rPr>
      <w:b/>
      <w:bCs/>
    </w:rPr>
  </w:style>
  <w:style w:type="paragraph" w:styleId="Cabealho">
    <w:name w:val="header"/>
    <w:basedOn w:val="Normal"/>
    <w:link w:val="CabealhoChar"/>
    <w:uiPriority w:val="99"/>
    <w:unhideWhenUsed/>
    <w:rsid w:val="004F1F2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F1F2B"/>
  </w:style>
  <w:style w:type="paragraph" w:styleId="Rodap">
    <w:name w:val="footer"/>
    <w:basedOn w:val="Normal"/>
    <w:link w:val="RodapChar"/>
    <w:uiPriority w:val="99"/>
    <w:unhideWhenUsed/>
    <w:rsid w:val="004F1F2B"/>
    <w:pPr>
      <w:tabs>
        <w:tab w:val="center" w:pos="4252"/>
        <w:tab w:val="right" w:pos="8504"/>
      </w:tabs>
      <w:spacing w:after="0" w:line="240" w:lineRule="auto"/>
    </w:pPr>
  </w:style>
  <w:style w:type="character" w:customStyle="1" w:styleId="RodapChar">
    <w:name w:val="Rodapé Char"/>
    <w:basedOn w:val="Fontepargpadro"/>
    <w:link w:val="Rodap"/>
    <w:uiPriority w:val="99"/>
    <w:rsid w:val="004F1F2B"/>
  </w:style>
  <w:style w:type="paragraph" w:customStyle="1" w:styleId="textocentralizado">
    <w:name w:val="texto_centralizado"/>
    <w:basedOn w:val="Normal"/>
    <w:rsid w:val="00E12C18"/>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622914">
      <w:bodyDiv w:val="1"/>
      <w:marLeft w:val="0"/>
      <w:marRight w:val="0"/>
      <w:marTop w:val="0"/>
      <w:marBottom w:val="0"/>
      <w:divBdr>
        <w:top w:val="none" w:sz="0" w:space="0" w:color="auto"/>
        <w:left w:val="none" w:sz="0" w:space="0" w:color="auto"/>
        <w:bottom w:val="none" w:sz="0" w:space="0" w:color="auto"/>
        <w:right w:val="none" w:sz="0" w:space="0" w:color="auto"/>
      </w:divBdr>
      <w:divsChild>
        <w:div w:id="362752839">
          <w:marLeft w:val="0"/>
          <w:marRight w:val="0"/>
          <w:marTop w:val="0"/>
          <w:marBottom w:val="0"/>
          <w:divBdr>
            <w:top w:val="none" w:sz="0" w:space="0" w:color="auto"/>
            <w:left w:val="none" w:sz="0" w:space="0" w:color="auto"/>
            <w:bottom w:val="none" w:sz="0" w:space="0" w:color="auto"/>
            <w:right w:val="none" w:sz="0" w:space="0" w:color="auto"/>
          </w:divBdr>
        </w:div>
        <w:div w:id="971403084">
          <w:marLeft w:val="0"/>
          <w:marRight w:val="0"/>
          <w:marTop w:val="0"/>
          <w:marBottom w:val="0"/>
          <w:divBdr>
            <w:top w:val="single" w:sz="8" w:space="1" w:color="1F497D"/>
            <w:left w:val="single" w:sz="8" w:space="4" w:color="1F497D"/>
            <w:bottom w:val="single" w:sz="8" w:space="1" w:color="1F497D"/>
            <w:right w:val="single" w:sz="8" w:space="4" w:color="1F497D"/>
          </w:divBdr>
        </w:div>
      </w:divsChild>
    </w:div>
    <w:div w:id="1786461671">
      <w:bodyDiv w:val="1"/>
      <w:marLeft w:val="0"/>
      <w:marRight w:val="0"/>
      <w:marTop w:val="0"/>
      <w:marBottom w:val="0"/>
      <w:divBdr>
        <w:top w:val="none" w:sz="0" w:space="0" w:color="auto"/>
        <w:left w:val="none" w:sz="0" w:space="0" w:color="auto"/>
        <w:bottom w:val="none" w:sz="0" w:space="0" w:color="auto"/>
        <w:right w:val="none" w:sz="0" w:space="0" w:color="auto"/>
      </w:divBdr>
      <w:divsChild>
        <w:div w:id="23671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6200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Araújo dos Anjos</dc:creator>
  <cp:keywords/>
  <dc:description/>
  <cp:lastModifiedBy>Mateus Araújo dos Anjos</cp:lastModifiedBy>
  <cp:revision>2</cp:revision>
  <dcterms:created xsi:type="dcterms:W3CDTF">2024-06-10T19:52:00Z</dcterms:created>
  <dcterms:modified xsi:type="dcterms:W3CDTF">2024-06-10T19:52:00Z</dcterms:modified>
</cp:coreProperties>
</file>